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337</w:t>
      </w:r>
    </w:p>
    <w:p>
      <w:r>
        <w:t>Bundesgericht (BGE), 2002-02-27, DE</w:t>
      </w:r>
    </w:p>
    <w:p>
      <w:r>
        <w:rPr>
          <w:b/>
        </w:rPr>
        <w:t xml:space="preserve">Quelle: </w:t>
      </w:r>
      <w:r>
        <w:t>https://mcp.opencaselaw.ch/entscheid/bge_132 V 337</w:t>
      </w:r>
    </w:p>
    <w:p>
      <w:r>
        <w:t>FR: ATF 132 V 337</w:t>
      </w:r>
    </w:p>
    <w:p>
      <w:r>
        <w:t>IT: DTF 132 V 337</w:t>
      </w:r>
    </w:p>
    <w:p>
      <w:pPr>
        <w:pStyle w:val="Heading2"/>
      </w:pPr>
      <w:r>
        <w:t>Regeste</w:t>
      </w:r>
    </w:p>
    <w:p>
      <w:r>
        <w:t>Regeste Art. 141 und 142 ZGB; Art. 22 und 25a FZG; Art. 73 BVG; Art. 50 ATSG; Art. 135 OG: Vergleich über die Teilung der Austrittsleistung bei Scheidung. Die Parteien können nicht nur im Scheidungsverfahren, sondern auch im Prozess vor dem Versicherungsgericht über die Durchführung der Teilung der Austrittsleistungen einen Vergleich abschliessen. Das Verhältnis der Teilung ist dagegen zwingend im Scheidungsverfahren festzulegen. (Erw. 2.2 bis 2.4) Im Verfahren vor dem Versicherungsgericht können die Parteien hingegen über zivilrechtliche Punkte (insbesondere betreffend Güterrecht) keinen Vergleich abschliessen. (Erw. 3.1)</w:t>
      </w:r>
    </w:p>
    <w:p>
      <w:pPr>
        <w:pStyle w:val="Heading2"/>
      </w:pPr>
      <w:r>
        <w:t>Erwägungen</w:t>
      </w:r>
    </w:p>
    <w:p>
      <w:r>
        <w:rPr>
          <w:b/>
        </w:rPr>
        <w:t>E. 1.1</w:t>
      </w:r>
    </w:p>
    <w:p>
      <w:r>
        <w:t>Gehört ein Ehegatte oder gehören beide Ehegatten einer Einrichtung der beruflichen Vorsorge an und ist bei keinem Ehegatten ein Vorsorgefall eingetreten, so hat bei einer Scheidung nach der Regelung des Art. 122 Abs. 1 ZGB jeder Ehegatte Anspruch auf die Hälfte der nach FZG für die Ehedauer zu ermittelnden Austrittsleistung des anderen Ehegatten. Gemäss Art. 123 Abs. 1 ZGB kann ein Ehegatte in der Vereinbarung auf seinen Anspruch ganz oder teilweise verzichten, wenn eine entsprechende Alters- und Invalidenvorsorge auf andere Weise gewährleistet ist. Jedoch kann das Gericht nach Abs. 2 dieser Bestimmung die Teilung ganz oder teilweise verweigern, wenn sie aufgrund der güterrechtlichen Auseinandersetzung oder der wirtschaftlichen Verhältnisse nach der Scheidung offensichtlich unbillig wäre. 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 Art. 141 Abs. 1 BGE 132 V 337 S. 340 ZGB ). Verzichtet ein Ehegatte in der Vereinbarung ganz oder teilweise auf seinen Anspruch, so prüft das Gericht gemäss Art. 141 Abs. 3 ZGB von Amtes wegen, ob eine entsprechende Alters- und Invalidenvorsorge auf andere Weise gewährleistet ist. Kommt dagegen keine Vereinbarung zustande, entscheidet das Gericht nach Art. 142 Abs. 1 ZGB über das Verhältnis, in welchem die Austrittsleistungen zu teilen sind. Uneinigkeit im Sinne des Gesetzes liegt auch dann vor, wenn die Ehegatten eine Einigung erzielt haben, aber keine Bestätigung der Einrichtung der beruflichen Vorsorge über die Durchführbarkeit der getroffenen Regelung beibringen können ( BGE 130 III 341 Erw. 2.5 mit Hinweis auf SUTTER/FREIBURGHAUS, Kommentar zum neuen Scheidungsrecht, Zürich 1999, N 55 zu Art. 122/141-142 ZGB). Sobald der Entscheid über das Teilungsverhältnis rechtskräftig ist, überweist das Gericht die Streitsache von Amtes wegen dem nach FZG zuständigen Gericht ( Art. 142 Abs. 2 ZGB ). Mitgeteilt werden nach Art. 142 Abs. 3 ZGB dabei insbesondere der Entscheid über das Teilungsverhältnis, das Datum der Eheschliessung und das Datum der Ehescheidung, die Einrichtungen der beruflichen Vorsorge, bei denen den Ehegatten voraussichtlich Guthaben zustehen, und die Höhe der Guthaben der Ehegatten, die diese Einrichtungen gemeldet haben.</w:t>
      </w:r>
    </w:p>
    <w:p>
      <w:r>
        <w:rPr>
          <w:b/>
        </w:rPr>
        <w:t>E. 1.2</w:t>
      </w:r>
    </w:p>
    <w:p>
      <w:r>
        <w:t>Entsprechend der Regelung des ZGB sieht Art. 22 Abs. 1 FZG vor, dass bei Ehescheidung die für die Ehedauer zu ermittelnden Austrittsleistungen nach den Art. 122, 123, 141 und 142 ZGB geteilt werden und dass die Art. 3 bis 5 FZG auf den zu übertragenden Betrag sinngemäss anwendbar sind. Die zu teilende Austrittsleistung eines Ehegatten entspricht nach Art. 22 Abs. 2 FZG dabei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Hingegen gilt ein Vorbezug für Wohneigentum als Freizügigkeitsleistung und wird ebenfalls nach Art. 22 Abs. 2 FZG geteilt ( Art. 30c Abs. 6 BVG ; Art. 331e Abs. 6 OR ). Der Vorbezug ist demnach zur Austrittsleistung im Zeitpunkt der Scheidung hinzuzurechnen (vgl. BGE 128 V 235 f. Erw. 3; SVR 2006 BVG Nr. 7 BGE 132 V 337 S. 341 S. 27 Erw. 3.2 und 4.2). Schliesslich legt Art. 22 Abs. 3 FZG fest, dass Anteile einer Einmaleinlage, die ein Ehegatte während der Ehe aus Mitteln finanziert hat, die unter dem Güterstand der Errungenschaftsbeteiligung von Gesetzes wegen sein Eigengut wären ( Art. 198 ZGB ), zuzüglich Zins von der zu teilenden Austrittsleistung abzuziehen sind.</w:t>
      </w:r>
    </w:p>
    <w:p>
      <w:r>
        <w:rPr>
          <w:b/>
        </w:rPr>
        <w:t>E. 1.3</w:t>
      </w:r>
    </w:p>
    <w:p>
      <w:r>
        <w:t>Können sich die Ehegatten über die bei der Ehescheidung zu übertragende Austrittsleistung nicht einigen, so hat das am Ort der Scheidung nach Art. 73 Abs. 1 BVG zuständige Gericht gestützt auf den vom Scheidungsgericht bestimmten Teilungsschlüssel die Teilung von Amtes wegen durchzuführen, nachdem ihm die Streitsache überwiesen worden ist ( Art. 25a Abs. 1 FZG ). Nach Art. 25a Abs. 2 FZG haben die Ehegatten und die Einrichtungen der beruflichen Vorsorge in diesem Verfahren Parteistellung; das Gericht setzt ihnen eine angemessene Frist, um Anträge zu stellen.</w:t>
      </w:r>
    </w:p>
    <w:p>
      <w:r>
        <w:rPr>
          <w:b/>
        </w:rPr>
        <w:t>E. 1.4</w:t>
      </w:r>
    </w:p>
    <w:p>
      <w:r>
        <w:t>Nicht zu prüfen ist der Fall, in dem das versicherte Risiko bereits eingetreten ist, da diesfalls das hier zu beurteilende Verfahren gar nicht zur Anwendung gelangt (vgl. Art. 124 ZGB ).</w:t>
      </w:r>
    </w:p>
    <w:p>
      <w:r>
        <w:rPr>
          <w:b/>
        </w:rPr>
        <w:t>E. 2</w:t>
      </w:r>
    </w:p>
    <w:p>
      <w:r>
        <w:t>Streitig und zu prüfen ist, ob die ehemaligen Eheleute F. im Verfahren vor dem kantonalen Versicherungsgericht den Vergleich abschliessen und die Vorinstanz diesen gerichtlich genehmigen durfte.</w:t>
      </w:r>
    </w:p>
    <w:p>
      <w:r>
        <w:rPr>
          <w:b/>
        </w:rPr>
        <w:t>E. 2.1</w:t>
      </w:r>
    </w:p>
    <w:p>
      <w:r>
        <w:t>Das Beschwerde führende BSV verneint die Möglichkeit eines Vergleiches über die Teilung der Austrittsleistung. Aber sogar wenn ein Vergleich abgeschlossen und gerichtlich genehmigt werden dürfte, fielen die Beurteilung güterrechtlicher und allenfalls sachenrechtlicher Auseinandersetzungen im Zusammenhang mit einer Scheidung nicht in die Kompetenz des Versicherungsgerichts. Art. 30e BVG betreffend Vorbezug von Leistungen der zweiten Säule für Wohneigentum stelle eine genügende Regelung dar, so dass nicht güter- oder sachenrechtliche Entscheide gefällt werden müssten.</w:t>
      </w:r>
    </w:p>
    <w:p>
      <w:r>
        <w:rPr>
          <w:b/>
        </w:rPr>
        <w:t>E. 2.2</w:t>
      </w:r>
    </w:p>
    <w:p>
      <w:r>
        <w:t>Aus dem vor dem Scheidungsgericht abgeschlossenen und von diesem genehmigten Vergleich ergibt sich, dass sich die ehemaligen Ehegatten über das Verhältnis der Teilung (50 : 50) einigen konnten. Dieser Teilungsschlüssel ist für das kantonale Versicherungsgericht und das Eidgenössische Versicherungsgericht verbindlich ( BGE 130 III 341 Erw. 2.5, BGE 128 V 46 Erw. 2c je mit Hinweisen). Art. 142 Abs. 2 ZGB verlangt nämlich, dass der Entscheid BGE 132 V 337 S. 342 über das Teilungsverhältnis rechtskräftig zu sein hat, bevor die Sache an das Versicherungsgericht zu überweisen ist, welches nach Art. 25a Abs. 1 FZG gestützt auf den vom Scheidungsgericht bestimmten Teilungsschlüssel die Teilung von Amtes wegen durchzuführen hat. Damit ist es den Parteien nicht möglich, diesen im Verfahren vor dem Versicherungsgericht einvernehmlich zu ändern.</w:t>
      </w:r>
    </w:p>
    <w:p>
      <w:r>
        <w:rPr>
          <w:b/>
        </w:rPr>
        <w:t>E. 2.3</w:t>
      </w:r>
    </w:p>
    <w:p>
      <w:r>
        <w:t>Aus Art. 141 Abs. 1 ZGB folgt, dass den Parteien im Rahmen der Teilung der Austrittsleistung ein gewisser inhaltlicher Spielraum zukommt, da ihnen die Möglichkeit einer Einigung zugestanden wird. Jedoch besteht dieser Spielraum nach der Konzeption des Gesetzes primär im Rahmen des Scheidungsverfahrens, denn Art. 141 Abs. 1 in fine ZGB legt klar fest, dass die Genehmigung der Vereinbarung über die Teilung der Austrittsleistungen und die Art der Durchführung dieser Teilung durch das Gericht zu erfolgen hat. Aus der Stellung der Norm im Scheidungsrecht ergibt sich, dass für die Genehmigung der Vereinbarung das Scheidungsgericht zuständig ist. Die Bestimmung des Verhältnisses, in welchem die Austrittsleistungen zu teilen sind, hat sodann auch deshalb zwingend im Rahmen des Scheidungsverfahrens zu erfolgen (vgl. Erw. 2.2 hievor), weil gemäss Art. 141 Abs. 3 ZGB in diesem Prozess bei einem ganzen oder teilweisen Verzicht auf den Anspruch auf die Austrittsleistung von Amtes wegen zu prüfen ist, ob eine entsprechende Alters- und Invalidenvorsorge auf andere Weise gewährleistet ist (vgl. auch Art. 123 Abs. 2 ZGB ). Diese Kontrolle kann jedoch nur im Rahmen der scheidungsrechtlichen Auseinandersetzung (Güterrecht und/oder Unterhalt) erfolgen. So haben sich in casu denn auch die ehemaligen Eheleute über den Teilungsschlüssel im Scheidungsverfahren geeinigt (hälftige Teilung), was vom Scheidungsgericht genehmigt worden ist.</w:t>
      </w:r>
    </w:p>
    <w:p>
      <w:r>
        <w:rPr>
          <w:b/>
        </w:rPr>
        <w:t>E. 2.4</w:t>
      </w:r>
    </w:p>
    <w:p>
      <w:r>
        <w:t>Die Notwendigkeit der Teilung vor dem Scheidungsgericht ändert jedoch nichts an der Möglichkeit der beteiligten Parteien, sich - mindestens in einem gewissen Rahmen und unter Zugrundelegung des verbindlichen Teilungsschlüssels - im Verfahren vor dem Sozialversicherungsgericht über die Durchführung der Teilung der Austrittsleistung zu einigen. Eine solche Einigung der Parteien stellt prozessual einen Vergleich dar. Da das ATSG im Bereich der beruflichen Vorsorge nicht anwendbar ist, kann die den Vergleich betreffende Bestimmung des Art. 50 ATSG hier zwar nicht massgebend sein. Die Zulässigkeit eines gerichtlichen Vergleichs ergibt BGE 132 V 337 S. 343 sich für das letztinstanzliche Verfahren jedoch aus Art. 40 und Art. 135 OG in Verbindung mit Art. 73 BZP , woraus sich auch die Möglichkeit zum Vergleichsabschluss für das kantonale Verfahren ergibt (vgl. auch Art. 73 BVG ). So hat denn auch das Eidgenössische Versicherungsgericht im Bereich der beruflichen Vorsorge schon Vergleiche im kantonalen Verfahren zugelassen (SZS 1997 S. 408) oder gar selber genehmigt (Urteil vom 28. November 2003, B 72/03). Falls der Inhalt des Vergleichs dem öffentlichen Recht untersteht und der Disposition der Parteien entzogen ist, hat das Gericht einen Vergleich als übereinstimmenden Antrag der Parteien zu betrachten und diesen auf seine Übereinstimmung mit Tatbestand und Gesetz zu überprüfen (AHI 1999 S. 208 Erw. 2b; SVR 1996 AHV Nr. 74 S. 223 Erw. 2b mit Hinweisen; AJP 2003 S. 65; ULRICH MEYER, Die Rechtspflege in der Sozialversicherung, in: BJM 1989 S. 28). Die Genehmigung eines solchen Vergleichs setzt aber voraus, dass das kantonale Versicherungsgericht oder das letztinstanzliche Gericht dafür sachlich zuständig ist. Damit ist davon auszugehen, dass sich die Parteien auch im Verfahren vor dem kantonalen Versicherungsgericht über die Aufteilung der Vorsorgeguthaben einigen können und dass dies in Form eines gerichtlich zu genehmigenden Vergleichs erfolgen kann. Das BSV als Aufsichtsbehörde erhält Kenntnis der abgeschlossenen Vergleiche (resp. von deren Genehmigung durch gerichtliches Urteil; Art. 4a Abs. 1 BVV 1 ) und kann allenfalls Verwaltungsgerichtsbeschwerde erheben, wenn ihm der abgeschlossene Vergleich als rechtswidrig erscheint oder die Teilung allenfalls zu einer offensichtlichen Unbilligkeit ( Art. 123 Abs. 2 ZGB ) resp. zu einer Gefährdung einer angemessenen Alters- und Hinterlassenenvorsorge ( Art. 141 Abs. 3 ZGB ) führt.</w:t>
      </w:r>
    </w:p>
    <w:p>
      <w:r>
        <w:rPr>
          <w:b/>
        </w:rPr>
        <w:t>E. 3.1</w:t>
      </w:r>
    </w:p>
    <w:p>
      <w:r>
        <w:t>Mit den Art. 141/142 ZGB und Art. 25a FZG hat der Gesetzgeber die sachliche Zuständigkeit des Scheidungsgerichts mit dem Sozialversicherungsgericht koordiniert und auf eine neue Grundlage gestellt. Es wird danach unterschieden, ob hinsichtlich der Teilung der Austrittsleistungen zwischen den Ehegatten und den beteiligten Einrichtungen der beruflichen Vorsorge ( Art. 141 Abs. 1 ZGB ) Einigkeit oder Uneinigkeit besteht. Lediglich bei Einigung kann das Scheidungsgericht über die konkrete Teilung der Austrittsleistungen auch in betraglicher Hinsicht selbst entscheiden, BGE 132 V 337 S. 344 indem die Vereinbarung genehmigt und damit auch für die Einrichtung der beruflichen Vorsorge verbindlich wird (Abs. 1). Bei Nichteinigung der Parteien ist das Scheidungsgericht nur befugt, über das abstrakte Verhältnis der Teilung verbindlich zu entscheiden ( BGE 128 V 46 Erw. 2c). Wird das Sozialversicherungsgericht im Falle der Nichteinigung gestützt auf Art. 142 ZGB ins Scheidungsverfahren einbezogen, so richtet sich dessen sachliche Zuständigkeit nach den Art. 22 ff. FZG . Es führt die Teilung der Austrittsleistung durch. Dabei handelt es sich um Ansprüche aus Vorsorgeverhältnissen, die dem FZG unterstehen, d.h. sämtliche Ansprüche aus den Säulen 2a und 2b, nicht hingegen die Ansprüche aus der ersten und der dritten Säule ( BGE 130 V 114 Erw. 3.2.2 mit Hinweisen). Ein Vorbezug für Wohneigentum gilt als Freizügigkeitsleistung und wird ebenfalls nach Art. 22 Abs. 2 FZG geteilt ( Art. 30c Abs. 6 BVG ; Art. 331e Abs. 6 OR ). Der Vorbezug ist also zur Austrittsleistung im Zeitpunkt der Scheidung hinzuzurechnen (vgl. BGE 128 V 235 f. Erw. 3; SVR 2006 BVG Nr. 7 S. 27 f. Erw. 3.2 und 4.2). Auf diese vorsorgerechtlichen Aspekte der Teilung der Austrittsleistung beschränkt sich die sachliche Zuständigkeit des Sozialversicherungsgerichts. Die sich im Rahmen des Ehescheidungsverfahrens im Zusammenhang mit einer durch einen Vorbezug finanzierten ehelichen Liegenschaft stellenden Fragen, wie beispielsweise in güterrechtlicher oder sachenrechtlicher Hinsicht, hat das Scheidungsgericht zu beurteilen. Eine sachliche Zuständigkeit des Sozialversicherungsgerichts für die Beurteilung solcher Fragen ergibt sich weder aus Art. 25a FZG noch aus Art. 142 ZGB . Im Folgenden ist daher zu prüfen, ob der vor der Vorinstanz abgeschlossene Vergleich inhaltlich zulässig und das Versicherungsgericht zur Genehmigung sachlich zuständig gewesen ist.</w:t>
      </w:r>
    </w:p>
    <w:p>
      <w:r>
        <w:rPr>
          <w:b/>
        </w:rPr>
        <w:t>E. 3.2</w:t>
      </w:r>
    </w:p>
    <w:p>
      <w:r>
        <w:t>In Ziff. 1 des Vergleiches teilen die ehemaligen Ehegatten die Vorsorgeguthaben derart, dass sie die Vorsorgeeinrichtung des Ehemannes anweisen, Fr. 7144.50 an die Vorsorgeeinrichtung der Ehefrau zu übertragen. Angesichts der zu teilenden Vorsorgeleistungen und der ausdrücklichen Zustimmung der beteiligten Vorsorgeeinrichtungen ist die Höhe des zu überweisenden Betrages nicht zu beanstanden. Weiter fällt die Teilung der Vorsorgeguthaben sachlich in die Kompetenz des Versicherungsgerichts ( Art. 142 Abs. 2 ZGB ), so dass dieses zur Genehmigung des entsprechendes Teils des Vergleiches zuständig ist. BGE 132 V 337 S. 345</w:t>
      </w:r>
    </w:p>
    <w:p>
      <w:r>
        <w:rPr>
          <w:b/>
        </w:rPr>
        <w:t>E. 3.3</w:t>
      </w:r>
    </w:p>
    <w:p>
      <w:r>
        <w:t>Die Feststellung, dass der Ehemann Fr. 68'000.- seines Vorsorgeguthabens verwendet hat, um die eheliche Wohnliegenschaft zu erwerben (Ziff. 2 des Vergleiches), betrifft grundsätzlich das Güterrecht, da es für die entsprechende Auseinandersetzung notwendig ist zu wissen, aus welcher Masse die verwendeten Gelder stammen. Jedoch ist diese Feststellung auch für die Teilung der Vorsorgegelder wichtig, da damit die Höhe der jeweiligen Vorsorgeguthaben festgestellt werden kann. Da die Teilung als solche mindestens teilweise der Parteidisposition unterliegt (Erw. 2.3 f. hievor), muss dies auch für die Feststellung der zu teilenden Vorsorgegelder gelten. Diese Frage braucht hier jedoch nicht abschliessend beantwortet zu werden, da aufgrund der Akten erstellt ist, dass der Betrag von Fr. 68'000.- tatsächlich für den Erwerb von Wohneigentum vorbezogen worden ist. Einer Genehmigung dieses Punktes steht deshalb nichts im Wege. Das Versicherungsgericht ist für die Feststellung und Teilung der Vorsorgeguthaben sachlich zuständig.</w:t>
      </w:r>
    </w:p>
    <w:p>
      <w:r>
        <w:rPr>
          <w:b/>
        </w:rPr>
        <w:t>E. 3.4</w:t>
      </w:r>
    </w:p>
    <w:p>
      <w:r>
        <w:t>In den Ziffern 3 bis 5 des Vergleiches vereinbaren die ehemaligen Eheleute, dass die Wohnliegenschaft in ihrem Gesamteigentum bleibt und der Ehefrau und den Kindern ein bis Ende Februar 2008 befristetes Wohnrecht eingeräumt wird. Diese Regelung betrifft eindeutig das Zivilrecht, wofür das Scheidungsgericht zuständig ist. Das Versicherungsgericht kann deshalb mangels sachlicher Kompetenz die entsprechenden Punkte des Vergleiches nicht gerichtlich genehmigen und es kann offen bleiben, ob die getroffene Regelung zivilrechtlich überhaupt zulässig ist oder nicht. Dafür wird das Scheidungsgericht zuständig sein, welches diese Punkte im Entscheid vom 27. Februar 2002 denn auch ad separatum verwiesen hat.</w:t>
      </w:r>
    </w:p>
    <w:p>
      <w:r>
        <w:rPr>
          <w:b/>
        </w:rPr>
        <w:t>E. 3.5</w:t>
      </w:r>
    </w:p>
    <w:p>
      <w:r>
        <w:t>In Ziff. 6 des Vergleiches verpflichten sich die ehemaligen Ehegatten, die Wohnliegenschaft per 1. März 2008 zu verkaufen und anschliessend den Vorbezug von Fr. 68'000.- je zur Hälfte auf ihre Vorsorgeeinrichtungen zu übertragen. Soweit mit dieser Vereinbarung die güterrechtliche Auseinandersetzung aufgeschoben wird, kann sie vom Sozialversicherungsgericht nicht genehmigt werden, da dieses für familienrechtliche Belange sachlich nicht zuständig ist. Soweit mit der Regelung jedoch ein Aufschub des Ausgleichs der Vorsorgegelder bezweckt wird, handelt es sich um eine Modalität der Teilung der BGE 132 V 337 S. 346 Austrittsleistung, weshalb die sachliche Zuständigkeit des Versicherungsgerichts zu bejahen ist. Der Aufschub der Teilung ist hier möglich, weil die Einräumung eines Wohnrechtes (was wirtschaftlich einer Veräusserung gleichkommt) nach Art. 30e Abs. 1 Satz 3 BVG keine Veräusserung darstellt, haben doch die geschiedene Ehefrau und die Kinder Anwartschaften auf Hinterlassenenleistungen (vgl. Art. 20 BVG betreffend Waisenrenten sowie Art. 20 BVV 2 betreffend Witwenrente); zudem bleibt der ehemalige Ehemann weiterhin Eigentümer der Liegenschaft. Damit wird - wenn sonst nicht genügend Mittel vorhanden sind, um den Vorsorgeausgleich durchzuführen - die Teilung effektiv bis zu einem späteren Verkauf aufgeschoben und die entsprechenden Leistungen werden gestundet. Damit ist Ziff. 6 des Vergleiches insoweit zu genehmigen, als darin ein Aufschub der Durchführung der Teilung bis zum Zeitpunkt des Verkaufs des Hauses an Dritte vereinbart worden ist.</w:t>
      </w:r>
    </w:p>
    <w:p>
      <w:r>
        <w:rPr>
          <w:b/>
        </w:rPr>
        <w:t>E. 3.6</w:t>
      </w:r>
    </w:p>
    <w:p>
      <w:r>
        <w:t>Die Parteikostenregelung durch die am Vergleich beteiligten Personen in Ziff. 7 des Vergleiches betrifft das kantonale Recht und ist vom BSV denn auch nicht angefochten worden.</w:t>
      </w:r>
    </w:p>
    <w:p>
      <w:r>
        <w:rPr>
          <w:b/>
        </w:rPr>
        <w:t>E. 3.7</w:t>
      </w:r>
    </w:p>
    <w:p>
      <w:r>
        <w:t>Zusammenfassend ist festzuhalten, dass der vorinstanzliche Entscheid insoweit Bundesrecht verletzt, als damit die Ziff. 3 bis 5 sowie Ziff. 6 Satz 1 des Vergleiches genehmigt worden sind. Ansonsten stellt die Genehmigung des Vergleiches keine Verletzung von Bundesrecht dar ( Art. 104 lit. a OG ).</w:t>
      </w:r>
    </w:p>
    <w:p>
      <w:r>
        <w:rPr>
          <w:b/>
        </w:rPr>
        <w:t>E. 4.1</w:t>
      </w:r>
    </w:p>
    <w:p>
      <w:r>
        <w:t>Da es um Versicherungsleistungen geht, ist das Verfahren nach Art. 134 OG kostenlos.</w:t>
      </w:r>
    </w:p>
    <w:p>
      <w:r>
        <w:rPr>
          <w:b/>
        </w:rPr>
        <w:t>E. 4.2</w:t>
      </w:r>
    </w:p>
    <w:p>
      <w:r>
        <w:t>Dem Ausgang des letztinstanzlichen Verfahrens entsprechend steht den teilweise obsiegenden F. und L. eine reduzierte Parteientschädigung zu ( Art. 135 OG in Verbindung mit Art. 159 Abs. 3 OG ). Die beteiligten Vorsorgeeinrichtungen als teilweise obsiegende Behörden haben dagegen keinen Anspruch auf Parteientschädigung ( Art. 135 OG in Verbindung mit Art. 159 Abs. 2 OG ; BGE 126 V 143 ). Soweit L. unterliegt, kann die beantragte unentgeltliche Verbeiständung gewährt werden ( Art. 152 OG in Verbindung mit Art. 135 OG ), da die Bedürftigkeit aktenkundig ist und die Vertretung geboten war ( BGE 125 V 202 Erw. 4a und 372 Erw. 5b,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